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316" w:rsidRDefault="005C70A1" w:rsidP="00112316">
      <w:pPr>
        <w:spacing w:before="100" w:beforeAutospacing="1" w:after="100" w:afterAutospacing="1" w:line="240" w:lineRule="auto"/>
        <w:jc w:val="center"/>
        <w:rPr>
          <w:rFonts w:asciiTheme="majorHAnsi" w:hAnsiTheme="majorHAnsi" w:cs="Arial"/>
          <w:b/>
          <w:color w:val="000000"/>
          <w:sz w:val="29"/>
          <w:szCs w:val="29"/>
          <w:shd w:val="clear" w:color="auto" w:fill="FFFFFF"/>
        </w:rPr>
      </w:pPr>
      <w:r w:rsidRPr="008C47D8">
        <w:rPr>
          <w:rFonts w:asciiTheme="majorHAnsi" w:hAnsiTheme="majorHAnsi" w:cs="Arial"/>
          <w:b/>
          <w:color w:val="000000"/>
          <w:sz w:val="29"/>
          <w:szCs w:val="29"/>
          <w:shd w:val="clear" w:color="auto" w:fill="FFFFFF"/>
        </w:rPr>
        <w:t>Annexe 1 : Partie A Formulaire d'information standard pour les contrats de voyage à forfait lorsque l'utilisation d'hyperliens est possible</w:t>
      </w:r>
    </w:p>
    <w:p w:rsidR="008C47D8" w:rsidRPr="008C47D8" w:rsidRDefault="008C47D8" w:rsidP="00112316">
      <w:pPr>
        <w:spacing w:before="100" w:beforeAutospacing="1" w:after="100" w:afterAutospacing="1" w:line="240" w:lineRule="auto"/>
        <w:jc w:val="center"/>
        <w:rPr>
          <w:rFonts w:asciiTheme="majorHAnsi" w:eastAsia="Times New Roman" w:hAnsiTheme="majorHAnsi" w:cs="Times New Roman"/>
          <w:b/>
          <w:color w:val="FF0000"/>
          <w:sz w:val="28"/>
          <w:szCs w:val="28"/>
          <w:u w:val="single"/>
          <w:lang w:eastAsia="fr-F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9222"/>
      </w:tblGrid>
      <w:tr w:rsidR="00112316" w:rsidRPr="008C47D8" w:rsidTr="008C47D8">
        <w:trPr>
          <w:jc w:val="center"/>
        </w:trPr>
        <w:tc>
          <w:tcPr>
            <w:tcW w:w="0" w:type="auto"/>
            <w:tcMar>
              <w:top w:w="75" w:type="dxa"/>
              <w:left w:w="75" w:type="dxa"/>
              <w:bottom w:w="75" w:type="dxa"/>
              <w:right w:w="75" w:type="dxa"/>
            </w:tcMar>
            <w:vAlign w:val="center"/>
            <w:hideMark/>
          </w:tcPr>
          <w:p w:rsidR="00112316" w:rsidRPr="008C47D8" w:rsidRDefault="00112316" w:rsidP="00713A32">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La combinaison de services de voyage qui vous est proposée est un forfait au sens de la directive (UE) 2015/2302 et de l'article L.211-2 II du code du tourisme.</w:t>
            </w:r>
            <w:r w:rsidR="008C47D8">
              <w:rPr>
                <w:rFonts w:asciiTheme="majorHAnsi" w:eastAsia="Times New Roman" w:hAnsiTheme="majorHAnsi" w:cs="Times New Roman"/>
                <w:sz w:val="24"/>
                <w:szCs w:val="24"/>
                <w:lang w:eastAsia="fr-FR"/>
              </w:rPr>
              <w:br/>
            </w:r>
            <w:r w:rsidRPr="008C47D8">
              <w:rPr>
                <w:rFonts w:asciiTheme="majorHAnsi" w:eastAsia="Times New Roman" w:hAnsiTheme="majorHAnsi" w:cs="Times New Roman"/>
                <w:sz w:val="24"/>
                <w:szCs w:val="24"/>
                <w:lang w:eastAsia="fr-FR"/>
              </w:rPr>
              <w:br/>
              <w:t>Vous bénéficierez donc de tous les droits octroyés par l'Union européenne applicables aux forfaits, tels que transposés dans le code du tourisme. L'entreprise/les entreprises XY sera/seront entièrement responsa</w:t>
            </w:r>
            <w:r w:rsidR="008C47D8" w:rsidRPr="008C47D8">
              <w:rPr>
                <w:rFonts w:asciiTheme="majorHAnsi" w:eastAsia="Times New Roman" w:hAnsiTheme="majorHAnsi" w:cs="Times New Roman"/>
                <w:sz w:val="24"/>
                <w:szCs w:val="24"/>
                <w:lang w:eastAsia="fr-FR"/>
              </w:rPr>
              <w:t>ble</w:t>
            </w:r>
            <w:r w:rsidRPr="008C47D8">
              <w:rPr>
                <w:rFonts w:asciiTheme="majorHAnsi" w:eastAsia="Times New Roman" w:hAnsiTheme="majorHAnsi" w:cs="Times New Roman"/>
                <w:sz w:val="24"/>
                <w:szCs w:val="24"/>
                <w:lang w:eastAsia="fr-FR"/>
              </w:rPr>
              <w:t>(s) de la bonne exécution du forfait dans son ensemble.</w:t>
            </w:r>
            <w:r w:rsidRPr="008C47D8">
              <w:rPr>
                <w:rFonts w:asciiTheme="majorHAnsi" w:eastAsia="Times New Roman" w:hAnsiTheme="majorHAnsi" w:cs="Times New Roman"/>
                <w:sz w:val="24"/>
                <w:szCs w:val="24"/>
                <w:lang w:eastAsia="fr-FR"/>
              </w:rPr>
              <w:br/>
            </w:r>
            <w:r w:rsidR="008C47D8">
              <w:rPr>
                <w:rFonts w:asciiTheme="majorHAnsi" w:eastAsia="Times New Roman" w:hAnsiTheme="majorHAnsi" w:cs="Times New Roman"/>
                <w:sz w:val="24"/>
                <w:szCs w:val="24"/>
                <w:lang w:eastAsia="fr-FR"/>
              </w:rPr>
              <w:br/>
            </w:r>
            <w:r w:rsidRPr="008C47D8">
              <w:rPr>
                <w:rFonts w:asciiTheme="majorHAnsi" w:eastAsia="Times New Roman" w:hAnsiTheme="majorHAnsi" w:cs="Times New Roman"/>
                <w:sz w:val="24"/>
                <w:szCs w:val="24"/>
                <w:lang w:eastAsia="fr-FR"/>
              </w:rPr>
              <w:t>En outre, comme l'exige la loi, l'entreprise/les entreprises XY dispose/disposent d'une protection afin de rembourser vos paiements et, si le transport est compris dans le forfait, d'assurer votre rapatriemen</w:t>
            </w:r>
            <w:r w:rsidR="008C47D8" w:rsidRPr="008C47D8">
              <w:rPr>
                <w:rFonts w:asciiTheme="majorHAnsi" w:eastAsia="Times New Roman" w:hAnsiTheme="majorHAnsi" w:cs="Times New Roman"/>
                <w:sz w:val="24"/>
                <w:szCs w:val="24"/>
                <w:lang w:eastAsia="fr-FR"/>
              </w:rPr>
              <w:t>t au cas où elle</w:t>
            </w:r>
            <w:r w:rsidRPr="008C47D8">
              <w:rPr>
                <w:rFonts w:asciiTheme="majorHAnsi" w:eastAsia="Times New Roman" w:hAnsiTheme="majorHAnsi" w:cs="Times New Roman"/>
                <w:sz w:val="24"/>
                <w:szCs w:val="24"/>
                <w:lang w:eastAsia="fr-FR"/>
              </w:rPr>
              <w:t xml:space="preserve">(s) </w:t>
            </w:r>
            <w:proofErr w:type="gramStart"/>
            <w:r w:rsidRPr="008C47D8">
              <w:rPr>
                <w:rFonts w:asciiTheme="majorHAnsi" w:eastAsia="Times New Roman" w:hAnsiTheme="majorHAnsi" w:cs="Times New Roman"/>
                <w:sz w:val="24"/>
                <w:szCs w:val="24"/>
                <w:lang w:eastAsia="fr-FR"/>
              </w:rPr>
              <w:t>deviendrai</w:t>
            </w:r>
            <w:r w:rsidR="008C47D8" w:rsidRPr="008C47D8">
              <w:rPr>
                <w:rFonts w:asciiTheme="majorHAnsi" w:eastAsia="Times New Roman" w:hAnsiTheme="majorHAnsi" w:cs="Times New Roman"/>
                <w:sz w:val="24"/>
                <w:szCs w:val="24"/>
                <w:lang w:eastAsia="fr-FR"/>
              </w:rPr>
              <w:t>(</w:t>
            </w:r>
            <w:proofErr w:type="gramEnd"/>
            <w:r w:rsidR="008C47D8" w:rsidRPr="008C47D8">
              <w:rPr>
                <w:rFonts w:asciiTheme="majorHAnsi" w:eastAsia="Times New Roman" w:hAnsiTheme="majorHAnsi" w:cs="Times New Roman"/>
                <w:sz w:val="24"/>
                <w:szCs w:val="24"/>
                <w:lang w:eastAsia="fr-FR"/>
              </w:rPr>
              <w:t>en) t insolvable</w:t>
            </w:r>
            <w:r w:rsidRPr="008C47D8">
              <w:rPr>
                <w:rFonts w:asciiTheme="majorHAnsi" w:eastAsia="Times New Roman" w:hAnsiTheme="majorHAnsi" w:cs="Times New Roman"/>
                <w:sz w:val="24"/>
                <w:szCs w:val="24"/>
                <w:lang w:eastAsia="fr-FR"/>
              </w:rPr>
              <w:t>(s).</w:t>
            </w:r>
            <w:r w:rsidRPr="008C47D8">
              <w:rPr>
                <w:rFonts w:asciiTheme="majorHAnsi" w:eastAsia="Times New Roman" w:hAnsiTheme="majorHAnsi" w:cs="Times New Roman"/>
                <w:sz w:val="24"/>
                <w:szCs w:val="24"/>
                <w:lang w:eastAsia="fr-FR"/>
              </w:rPr>
              <w:br/>
            </w:r>
            <w:r w:rsidR="008C47D8">
              <w:rPr>
                <w:rFonts w:asciiTheme="majorHAnsi" w:eastAsia="Times New Roman" w:hAnsiTheme="majorHAnsi" w:cs="Times New Roman"/>
                <w:sz w:val="24"/>
                <w:szCs w:val="24"/>
                <w:lang w:eastAsia="fr-FR"/>
              </w:rPr>
              <w:br/>
            </w:r>
            <w:r w:rsidRPr="008C47D8">
              <w:rPr>
                <w:rFonts w:asciiTheme="majorHAnsi" w:eastAsia="Times New Roman" w:hAnsiTheme="majorHAnsi" w:cs="Times New Roman"/>
                <w:sz w:val="24"/>
                <w:szCs w:val="24"/>
                <w:lang w:eastAsia="fr-FR"/>
              </w:rPr>
              <w:t>Pour plus d'informations sur les droits essentiels au titre de la directive (UE) 2015/2302 [à fournir sous forme d'hyperlien].</w:t>
            </w:r>
          </w:p>
        </w:tc>
      </w:tr>
    </w:tbl>
    <w:p w:rsidR="00112316" w:rsidRDefault="00112316" w:rsidP="00112316">
      <w:pPr>
        <w:spacing w:after="0" w:line="240" w:lineRule="auto"/>
        <w:rPr>
          <w:rFonts w:asciiTheme="majorHAnsi" w:eastAsia="Times New Roman" w:hAnsiTheme="majorHAnsi" w:cs="Times New Roman"/>
          <w:sz w:val="24"/>
          <w:szCs w:val="24"/>
          <w:lang w:eastAsia="fr-FR"/>
        </w:rPr>
      </w:pPr>
    </w:p>
    <w:p w:rsidR="008C47D8" w:rsidRPr="008C47D8" w:rsidRDefault="008C47D8" w:rsidP="008C47D8">
      <w:pPr>
        <w:spacing w:after="0" w:line="240" w:lineRule="auto"/>
        <w:ind w:right="567"/>
        <w:rPr>
          <w:rFonts w:asciiTheme="majorHAnsi" w:eastAsia="Times New Roman" w:hAnsiTheme="majorHAnsi" w:cs="Times New Roman"/>
          <w:sz w:val="24"/>
          <w:szCs w:val="24"/>
          <w:lang w:eastAsia="fr-FR"/>
        </w:rPr>
      </w:pPr>
    </w:p>
    <w:p w:rsidR="008C47D8" w:rsidRDefault="00112316" w:rsidP="008C47D8">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En cliquant sur l'hyperlien, le voyageur recevra les informations suivantes</w:t>
      </w:r>
      <w:r w:rsidR="00713A32">
        <w:rPr>
          <w:rFonts w:asciiTheme="majorHAnsi" w:eastAsia="Times New Roman" w:hAnsiTheme="majorHAnsi" w:cs="Times New Roman"/>
          <w:sz w:val="24"/>
          <w:szCs w:val="24"/>
          <w:lang w:eastAsia="fr-FR"/>
        </w:rPr>
        <w:t xml:space="preserve"> </w:t>
      </w:r>
      <w:proofErr w:type="gramStart"/>
      <w:r w:rsidRPr="008C47D8">
        <w:rPr>
          <w:rFonts w:asciiTheme="majorHAnsi" w:eastAsia="Times New Roman" w:hAnsiTheme="majorHAnsi" w:cs="Times New Roman"/>
          <w:sz w:val="24"/>
          <w:szCs w:val="24"/>
          <w:lang w:eastAsia="fr-FR"/>
        </w:rPr>
        <w:t>:</w:t>
      </w:r>
      <w:proofErr w:type="gramEnd"/>
      <w:r w:rsidRPr="008C47D8">
        <w:rPr>
          <w:rFonts w:asciiTheme="majorHAnsi" w:eastAsia="Times New Roman" w:hAnsiTheme="majorHAnsi" w:cs="Times New Roman"/>
          <w:sz w:val="24"/>
          <w:szCs w:val="24"/>
          <w:lang w:eastAsia="fr-FR"/>
        </w:rPr>
        <w:br/>
        <w:t xml:space="preserve">Droits essentiels au titre de la directive (UE) 2015/2302 transposée dans le code du tourisme </w:t>
      </w:r>
      <w:r w:rsidR="008C47D8">
        <w:rPr>
          <w:rFonts w:asciiTheme="majorHAnsi" w:eastAsia="Times New Roman" w:hAnsiTheme="majorHAnsi" w:cs="Times New Roman"/>
          <w:sz w:val="24"/>
          <w:szCs w:val="24"/>
          <w:lang w:eastAsia="fr-FR"/>
        </w:rPr>
        <w:br/>
      </w:r>
    </w:p>
    <w:p w:rsidR="00112316" w:rsidRPr="008C47D8" w:rsidRDefault="00112316" w:rsidP="008C47D8">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Les voyageurs recevront toutes les informations essentielles sur le forfait avant de conclure le contrat de voyage à forfait.</w:t>
      </w:r>
    </w:p>
    <w:p w:rsidR="008C47D8" w:rsidRDefault="008C47D8" w:rsidP="008C47D8">
      <w:pPr>
        <w:spacing w:after="0" w:line="240" w:lineRule="auto"/>
        <w:jc w:val="both"/>
        <w:rPr>
          <w:rFonts w:asciiTheme="majorHAnsi" w:eastAsia="Times New Roman" w:hAnsiTheme="majorHAnsi" w:cs="Times New Roman"/>
          <w:sz w:val="24"/>
          <w:szCs w:val="24"/>
          <w:lang w:eastAsia="fr-FR"/>
        </w:rPr>
      </w:pPr>
    </w:p>
    <w:p w:rsidR="008C47D8" w:rsidRDefault="00112316" w:rsidP="00713A32">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 xml:space="preserve">L'organisateur ainsi que le détaillant sont responsables de la bonne exécution de tous les </w:t>
      </w:r>
      <w:r w:rsidR="008C47D8">
        <w:rPr>
          <w:rFonts w:asciiTheme="majorHAnsi" w:eastAsia="Times New Roman" w:hAnsiTheme="majorHAnsi" w:cs="Times New Roman"/>
          <w:sz w:val="24"/>
          <w:szCs w:val="24"/>
          <w:lang w:eastAsia="fr-FR"/>
        </w:rPr>
        <w:br/>
      </w:r>
      <w:r w:rsidRPr="008C47D8">
        <w:rPr>
          <w:rFonts w:asciiTheme="majorHAnsi" w:eastAsia="Times New Roman" w:hAnsiTheme="majorHAnsi" w:cs="Times New Roman"/>
          <w:sz w:val="24"/>
          <w:szCs w:val="24"/>
          <w:lang w:eastAsia="fr-FR"/>
        </w:rPr>
        <w:t>services de voyage compris dans le contrat.</w:t>
      </w:r>
      <w:r w:rsidR="00713A32">
        <w:rPr>
          <w:rFonts w:asciiTheme="majorHAnsi" w:eastAsia="Times New Roman" w:hAnsiTheme="majorHAnsi" w:cs="Times New Roman"/>
          <w:sz w:val="24"/>
          <w:szCs w:val="24"/>
          <w:lang w:eastAsia="fr-FR"/>
        </w:rPr>
        <w:tab/>
      </w:r>
      <w:r w:rsidRPr="008C47D8">
        <w:rPr>
          <w:rFonts w:asciiTheme="majorHAnsi" w:eastAsia="Times New Roman" w:hAnsiTheme="majorHAnsi" w:cs="Times New Roman"/>
          <w:sz w:val="24"/>
          <w:szCs w:val="24"/>
          <w:lang w:eastAsia="fr-FR"/>
        </w:rPr>
        <w:br/>
      </w:r>
    </w:p>
    <w:p w:rsidR="008C47D8" w:rsidRDefault="00112316" w:rsidP="008C47D8">
      <w:pPr>
        <w:spacing w:after="0" w:line="240" w:lineRule="auto"/>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Les voyageurs reçoivent un numéro de téléphone d'urgence ou les coordonnées d'un point de contact leur permettant de joindre l'organisateur ou le détaillant.</w:t>
      </w:r>
      <w:r w:rsidRPr="008C47D8">
        <w:rPr>
          <w:rFonts w:asciiTheme="majorHAnsi" w:eastAsia="Times New Roman" w:hAnsiTheme="majorHAnsi" w:cs="Times New Roman"/>
          <w:sz w:val="24"/>
          <w:szCs w:val="24"/>
          <w:lang w:eastAsia="fr-FR"/>
        </w:rPr>
        <w:br/>
      </w:r>
    </w:p>
    <w:p w:rsidR="008C47D8" w:rsidRDefault="00112316" w:rsidP="008C47D8">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Les voyageurs peuvent céder leur forfait à une autre personne, moyennant un préavis raisonnable et éventuellement sous réserve de payer des frais supplémentaires.</w:t>
      </w:r>
      <w:r w:rsidRPr="008C47D8">
        <w:rPr>
          <w:rFonts w:asciiTheme="majorHAnsi" w:eastAsia="Times New Roman" w:hAnsiTheme="majorHAnsi" w:cs="Times New Roman"/>
          <w:sz w:val="24"/>
          <w:szCs w:val="24"/>
          <w:lang w:eastAsia="fr-FR"/>
        </w:rPr>
        <w:br/>
      </w:r>
    </w:p>
    <w:p w:rsidR="008C47D8" w:rsidRDefault="00112316" w:rsidP="008C47D8">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 xml:space="preserve">Le prix du forfait ne peut être augmenté que si des coûts spécifiques augmentent (par exemple, les prix des carburants) et si cette possibilité est explicitement prévue dans le contrat, et ne peut en tout cas pas être modifié moins de vingt jours avant le début du forfait. </w:t>
      </w:r>
    </w:p>
    <w:p w:rsidR="008C47D8" w:rsidRDefault="008C47D8" w:rsidP="008C47D8">
      <w:pPr>
        <w:spacing w:after="0" w:line="240" w:lineRule="auto"/>
        <w:jc w:val="both"/>
        <w:rPr>
          <w:rFonts w:asciiTheme="majorHAnsi" w:eastAsia="Times New Roman" w:hAnsiTheme="majorHAnsi" w:cs="Times New Roman"/>
          <w:sz w:val="24"/>
          <w:szCs w:val="24"/>
          <w:lang w:eastAsia="fr-FR"/>
        </w:rPr>
      </w:pPr>
    </w:p>
    <w:p w:rsidR="008C47D8" w:rsidRDefault="00112316" w:rsidP="008C47D8">
      <w:pPr>
        <w:spacing w:after="0" w:line="240" w:lineRule="auto"/>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 xml:space="preserve">Si la majoration de prix dépasse 8 % du prix du forfait, le voyageur peut résoudre le contrat. </w:t>
      </w:r>
      <w:r w:rsidR="00713A32">
        <w:rPr>
          <w:rFonts w:asciiTheme="majorHAnsi" w:eastAsia="Times New Roman" w:hAnsiTheme="majorHAnsi" w:cs="Times New Roman"/>
          <w:sz w:val="24"/>
          <w:szCs w:val="24"/>
          <w:lang w:eastAsia="fr-FR"/>
        </w:rPr>
        <w:br/>
      </w:r>
      <w:r w:rsidRPr="008C47D8">
        <w:rPr>
          <w:rFonts w:asciiTheme="majorHAnsi" w:eastAsia="Times New Roman" w:hAnsiTheme="majorHAnsi" w:cs="Times New Roman"/>
          <w:sz w:val="24"/>
          <w:szCs w:val="24"/>
          <w:lang w:eastAsia="fr-FR"/>
        </w:rPr>
        <w:t>Si l'organisateur se réserve le droit d'augmenter le prix, le voyageur a droit à une réduction de prix en cas de diminution des coûts correspondants.</w:t>
      </w:r>
      <w:r w:rsidRPr="008C47D8">
        <w:rPr>
          <w:rFonts w:asciiTheme="majorHAnsi" w:eastAsia="Times New Roman" w:hAnsiTheme="majorHAnsi" w:cs="Times New Roman"/>
          <w:sz w:val="24"/>
          <w:szCs w:val="24"/>
          <w:lang w:eastAsia="fr-FR"/>
        </w:rPr>
        <w:br/>
      </w:r>
    </w:p>
    <w:p w:rsidR="009A3F38" w:rsidRDefault="009A3F38" w:rsidP="00713A32">
      <w:pPr>
        <w:spacing w:after="0" w:line="240" w:lineRule="auto"/>
        <w:jc w:val="both"/>
        <w:rPr>
          <w:rFonts w:asciiTheme="majorHAnsi" w:eastAsia="Times New Roman" w:hAnsiTheme="majorHAnsi" w:cs="Times New Roman"/>
          <w:sz w:val="24"/>
          <w:szCs w:val="24"/>
          <w:lang w:eastAsia="fr-FR"/>
        </w:rPr>
      </w:pPr>
    </w:p>
    <w:p w:rsidR="009A3F38" w:rsidRDefault="009A3F38" w:rsidP="00713A32">
      <w:pPr>
        <w:spacing w:after="0" w:line="240" w:lineRule="auto"/>
        <w:jc w:val="both"/>
        <w:rPr>
          <w:rFonts w:asciiTheme="majorHAnsi" w:eastAsia="Times New Roman" w:hAnsiTheme="majorHAnsi" w:cs="Times New Roman"/>
          <w:sz w:val="24"/>
          <w:szCs w:val="24"/>
          <w:lang w:eastAsia="fr-FR"/>
        </w:rPr>
      </w:pPr>
    </w:p>
    <w:p w:rsidR="008C47D8" w:rsidRDefault="00112316" w:rsidP="00713A32">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lastRenderedPageBreak/>
        <w:t>Les voyageurs peuvent résoudre le contrat sans payer de frais de réso</w:t>
      </w:r>
      <w:r w:rsidR="00713A32">
        <w:rPr>
          <w:rFonts w:asciiTheme="majorHAnsi" w:eastAsia="Times New Roman" w:hAnsiTheme="majorHAnsi" w:cs="Times New Roman"/>
          <w:sz w:val="24"/>
          <w:szCs w:val="24"/>
          <w:lang w:eastAsia="fr-FR"/>
        </w:rPr>
        <w:t xml:space="preserve">lution et être </w:t>
      </w:r>
      <w:r w:rsidRPr="008C47D8">
        <w:rPr>
          <w:rFonts w:asciiTheme="majorHAnsi" w:eastAsia="Times New Roman" w:hAnsiTheme="majorHAnsi" w:cs="Times New Roman"/>
          <w:sz w:val="24"/>
          <w:szCs w:val="24"/>
          <w:lang w:eastAsia="fr-FR"/>
        </w:rPr>
        <w:t xml:space="preserve">intégralement remboursés des paiements effectués si l'un des éléments essentiels du forfait, autre que le prix, subit une modification importante. Si, avant le début du forfait, le professionnel responsable du forfait annule celui-ci, les voyageurs ont le droit d'obtenir le </w:t>
      </w:r>
      <w:r w:rsidR="00713A32">
        <w:rPr>
          <w:rFonts w:asciiTheme="majorHAnsi" w:eastAsia="Times New Roman" w:hAnsiTheme="majorHAnsi" w:cs="Times New Roman"/>
          <w:sz w:val="24"/>
          <w:szCs w:val="24"/>
          <w:lang w:eastAsia="fr-FR"/>
        </w:rPr>
        <w:br/>
        <w:t xml:space="preserve">remboursement </w:t>
      </w:r>
      <w:r w:rsidRPr="008C47D8">
        <w:rPr>
          <w:rFonts w:asciiTheme="majorHAnsi" w:eastAsia="Times New Roman" w:hAnsiTheme="majorHAnsi" w:cs="Times New Roman"/>
          <w:sz w:val="24"/>
          <w:szCs w:val="24"/>
          <w:lang w:eastAsia="fr-FR"/>
        </w:rPr>
        <w:t>et un dédommagement, s'il y a lieu.</w:t>
      </w:r>
      <w:r w:rsidR="00713A32">
        <w:rPr>
          <w:rFonts w:asciiTheme="majorHAnsi" w:eastAsia="Times New Roman" w:hAnsiTheme="majorHAnsi" w:cs="Times New Roman"/>
          <w:sz w:val="24"/>
          <w:szCs w:val="24"/>
          <w:lang w:eastAsia="fr-FR"/>
        </w:rPr>
        <w:tab/>
      </w:r>
      <w:r w:rsidRPr="008C47D8">
        <w:rPr>
          <w:rFonts w:asciiTheme="majorHAnsi" w:eastAsia="Times New Roman" w:hAnsiTheme="majorHAnsi" w:cs="Times New Roman"/>
          <w:sz w:val="24"/>
          <w:szCs w:val="24"/>
          <w:lang w:eastAsia="fr-FR"/>
        </w:rPr>
        <w:br/>
      </w:r>
    </w:p>
    <w:p w:rsidR="008C47D8" w:rsidRDefault="00112316" w:rsidP="008C47D8">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Les voyageurs peuvent résoudre le contrat sans payer de frais de résolution avant le début du forfait en cas de circonstances exceptionnelles, par exemple s'il existe des problèmes graves pour la sécurité au lieu de destination qui sont susceptibles d'affecter le forfait.</w:t>
      </w:r>
      <w:r w:rsidRPr="008C47D8">
        <w:rPr>
          <w:rFonts w:asciiTheme="majorHAnsi" w:eastAsia="Times New Roman" w:hAnsiTheme="majorHAnsi" w:cs="Times New Roman"/>
          <w:sz w:val="24"/>
          <w:szCs w:val="24"/>
          <w:lang w:eastAsia="fr-FR"/>
        </w:rPr>
        <w:br/>
      </w:r>
    </w:p>
    <w:p w:rsidR="008C47D8" w:rsidRDefault="00112316" w:rsidP="008C47D8">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En outre, les voyageurs peuvent, à tout moment avant le début du forfait, résoudre le contrat moyennant le paiement de frais de résolution appropriés et justifiables.</w:t>
      </w:r>
      <w:r w:rsidR="007D023A">
        <w:rPr>
          <w:rFonts w:asciiTheme="majorHAnsi" w:eastAsia="Times New Roman" w:hAnsiTheme="majorHAnsi" w:cs="Times New Roman"/>
          <w:sz w:val="24"/>
          <w:szCs w:val="24"/>
          <w:lang w:eastAsia="fr-FR"/>
        </w:rPr>
        <w:tab/>
      </w:r>
      <w:r w:rsidRPr="008C47D8">
        <w:rPr>
          <w:rFonts w:asciiTheme="majorHAnsi" w:eastAsia="Times New Roman" w:hAnsiTheme="majorHAnsi" w:cs="Times New Roman"/>
          <w:sz w:val="24"/>
          <w:szCs w:val="24"/>
          <w:lang w:eastAsia="fr-FR"/>
        </w:rPr>
        <w:br/>
      </w:r>
    </w:p>
    <w:p w:rsidR="007D023A" w:rsidRDefault="00112316" w:rsidP="008C47D8">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 xml:space="preserve">Si, après le début du forfait, des éléments importants de celui-ci ne peuvent pas être fournis comme prévu, d'autres prestations appropriées devront être proposées aux voyageurs, sans supplément de prix. </w:t>
      </w:r>
    </w:p>
    <w:p w:rsidR="007D023A" w:rsidRDefault="007D023A" w:rsidP="008C47D8">
      <w:pPr>
        <w:spacing w:after="0" w:line="240" w:lineRule="auto"/>
        <w:jc w:val="both"/>
        <w:rPr>
          <w:rFonts w:asciiTheme="majorHAnsi" w:eastAsia="Times New Roman" w:hAnsiTheme="majorHAnsi" w:cs="Times New Roman"/>
          <w:sz w:val="24"/>
          <w:szCs w:val="24"/>
          <w:lang w:eastAsia="fr-FR"/>
        </w:rPr>
      </w:pPr>
    </w:p>
    <w:p w:rsidR="008C47D8" w:rsidRDefault="00112316" w:rsidP="008C47D8">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Les voyageurs peuvent résoudre le contrat sans payer de frais de résolution lorsque les services ne sont pas exécutés conformément au contrat, que cela perturbe considérablement l'exécution du forfait et que l'organisateur ne remédie pas au problème.</w:t>
      </w:r>
      <w:r w:rsidR="007D023A">
        <w:rPr>
          <w:rFonts w:asciiTheme="majorHAnsi" w:eastAsia="Times New Roman" w:hAnsiTheme="majorHAnsi" w:cs="Times New Roman"/>
          <w:sz w:val="24"/>
          <w:szCs w:val="24"/>
          <w:lang w:eastAsia="fr-FR"/>
        </w:rPr>
        <w:tab/>
      </w:r>
      <w:r w:rsidRPr="008C47D8">
        <w:rPr>
          <w:rFonts w:asciiTheme="majorHAnsi" w:eastAsia="Times New Roman" w:hAnsiTheme="majorHAnsi" w:cs="Times New Roman"/>
          <w:sz w:val="24"/>
          <w:szCs w:val="24"/>
          <w:lang w:eastAsia="fr-FR"/>
        </w:rPr>
        <w:br/>
      </w:r>
    </w:p>
    <w:p w:rsidR="008C47D8" w:rsidRDefault="00112316" w:rsidP="008C47D8">
      <w:pPr>
        <w:spacing w:after="0" w:line="240" w:lineRule="auto"/>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Les voyageurs ont aussi droit à une réduction de prix et/ou à un dédommagement en cas d'inexécution ou de mauvaise exécution des services de voyage.</w:t>
      </w:r>
      <w:r w:rsidRPr="008C47D8">
        <w:rPr>
          <w:rFonts w:asciiTheme="majorHAnsi" w:eastAsia="Times New Roman" w:hAnsiTheme="majorHAnsi" w:cs="Times New Roman"/>
          <w:sz w:val="24"/>
          <w:szCs w:val="24"/>
          <w:lang w:eastAsia="fr-FR"/>
        </w:rPr>
        <w:br/>
      </w:r>
    </w:p>
    <w:p w:rsidR="008C47D8" w:rsidRDefault="00112316" w:rsidP="008C47D8">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L'organisateur ou le détaillant doit apporter une aide si le voyageur est en difficulté.</w:t>
      </w:r>
      <w:r w:rsidRPr="008C47D8">
        <w:rPr>
          <w:rFonts w:asciiTheme="majorHAnsi" w:eastAsia="Times New Roman" w:hAnsiTheme="majorHAnsi" w:cs="Times New Roman"/>
          <w:sz w:val="24"/>
          <w:szCs w:val="24"/>
          <w:lang w:eastAsia="fr-FR"/>
        </w:rPr>
        <w:br/>
      </w:r>
    </w:p>
    <w:p w:rsidR="008C47D8" w:rsidRDefault="00112316" w:rsidP="008C47D8">
      <w:pPr>
        <w:spacing w:after="0" w:line="240" w:lineRule="auto"/>
        <w:jc w:val="both"/>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 xml:space="preserve">Si l'organisateur ou le détaillant devient insolvable, les montants versés seront remboursés. Si l'organisateur ou le détaillant devient insolvable après le début du forfait et si le transport est compris dans le forfait, le rapatriement des voyageurs est garanti. XY a souscrit une protection contre l'insolvabilité auprès </w:t>
      </w:r>
      <w:proofErr w:type="gramStart"/>
      <w:r w:rsidRPr="008C47D8">
        <w:rPr>
          <w:rFonts w:asciiTheme="majorHAnsi" w:eastAsia="Times New Roman" w:hAnsiTheme="majorHAnsi" w:cs="Times New Roman"/>
          <w:sz w:val="24"/>
          <w:szCs w:val="24"/>
          <w:lang w:eastAsia="fr-FR"/>
        </w:rPr>
        <w:t>de YZ</w:t>
      </w:r>
      <w:proofErr w:type="gramEnd"/>
      <w:r w:rsidRPr="008C47D8">
        <w:rPr>
          <w:rFonts w:asciiTheme="majorHAnsi" w:eastAsia="Times New Roman" w:hAnsiTheme="majorHAnsi" w:cs="Times New Roman"/>
          <w:sz w:val="24"/>
          <w:szCs w:val="24"/>
          <w:lang w:eastAsia="fr-FR"/>
        </w:rPr>
        <w:t xml:space="preserve"> [l'entité chargée de la protection contre l'insolvabilité, par exemple un fonds de garantie ou une compagnie d'assurance]. Les voyageurs peuvent prendre contact avec cette entité (coordonnées du point de contact, y compris son nom, son adresse géographique, son adresse électronique et son numéro de téléphone) si des services leur sont refusés en raison de l'insolvabilité de XY.</w:t>
      </w:r>
      <w:r w:rsidRPr="008C47D8">
        <w:rPr>
          <w:rFonts w:asciiTheme="majorHAnsi" w:eastAsia="Times New Roman" w:hAnsiTheme="majorHAnsi" w:cs="Times New Roman"/>
          <w:sz w:val="24"/>
          <w:szCs w:val="24"/>
          <w:lang w:eastAsia="fr-FR"/>
        </w:rPr>
        <w:br/>
      </w:r>
    </w:p>
    <w:p w:rsidR="00112316" w:rsidRPr="008C47D8" w:rsidRDefault="00112316" w:rsidP="008C47D8">
      <w:pPr>
        <w:spacing w:after="0" w:line="240" w:lineRule="auto"/>
        <w:rPr>
          <w:rFonts w:asciiTheme="majorHAnsi" w:eastAsia="Times New Roman" w:hAnsiTheme="majorHAnsi" w:cs="Times New Roman"/>
          <w:sz w:val="24"/>
          <w:szCs w:val="24"/>
          <w:lang w:eastAsia="fr-FR"/>
        </w:rPr>
      </w:pPr>
      <w:r w:rsidRPr="008C47D8">
        <w:rPr>
          <w:rFonts w:asciiTheme="majorHAnsi" w:eastAsia="Times New Roman" w:hAnsiTheme="majorHAnsi" w:cs="Times New Roman"/>
          <w:sz w:val="24"/>
          <w:szCs w:val="24"/>
          <w:lang w:eastAsia="fr-FR"/>
        </w:rPr>
        <w:t>Directive (UE</w:t>
      </w:r>
      <w:r w:rsidR="008C47D8">
        <w:rPr>
          <w:rFonts w:asciiTheme="majorHAnsi" w:eastAsia="Times New Roman" w:hAnsiTheme="majorHAnsi" w:cs="Times New Roman"/>
          <w:sz w:val="24"/>
          <w:szCs w:val="24"/>
          <w:lang w:eastAsia="fr-FR"/>
        </w:rPr>
        <w:t xml:space="preserve">) 2015/2302 transposée en droit </w:t>
      </w:r>
      <w:r w:rsidRPr="008C47D8">
        <w:rPr>
          <w:rFonts w:asciiTheme="majorHAnsi" w:eastAsia="Times New Roman" w:hAnsiTheme="majorHAnsi" w:cs="Times New Roman"/>
          <w:sz w:val="24"/>
          <w:szCs w:val="24"/>
          <w:lang w:eastAsia="fr-FR"/>
        </w:rPr>
        <w:t>national </w:t>
      </w:r>
      <w:r w:rsidR="008C47D8">
        <w:rPr>
          <w:rFonts w:asciiTheme="majorHAnsi" w:eastAsia="Times New Roman" w:hAnsiTheme="majorHAnsi" w:cs="Times New Roman"/>
          <w:sz w:val="24"/>
          <w:szCs w:val="24"/>
          <w:lang w:eastAsia="fr-FR"/>
        </w:rPr>
        <w:br/>
      </w:r>
      <w:hyperlink r:id="rId5" w:history="1">
        <w:r w:rsidRPr="008C47D8">
          <w:rPr>
            <w:rStyle w:val="Lienhypertexte"/>
            <w:rFonts w:asciiTheme="majorHAnsi" w:eastAsia="Times New Roman" w:hAnsiTheme="majorHAnsi" w:cs="Times New Roman"/>
            <w:sz w:val="24"/>
            <w:szCs w:val="24"/>
            <w:lang w:eastAsia="fr-FR"/>
          </w:rPr>
          <w:t>https://www.legifrance.gouv.fr/affichCodeArticle.do;jsessionid=B6B56671A51841699A8FB7B4B5EB08A2.tplgfr21s_1?idArticle=LEGIARTI000036242695&amp;cidTexte=LEGITEXT000006074073&amp;categorieLien=id&amp;dateTexte=20180701</w:t>
        </w:r>
      </w:hyperlink>
    </w:p>
    <w:p w:rsidR="00112316" w:rsidRPr="008C47D8" w:rsidRDefault="00112316" w:rsidP="008C47D8">
      <w:pPr>
        <w:spacing w:after="0" w:line="240" w:lineRule="auto"/>
        <w:jc w:val="both"/>
        <w:rPr>
          <w:rFonts w:asciiTheme="majorHAnsi" w:eastAsia="Times New Roman" w:hAnsiTheme="majorHAnsi" w:cs="Times New Roman"/>
          <w:sz w:val="24"/>
          <w:szCs w:val="24"/>
          <w:lang w:eastAsia="fr-FR"/>
        </w:rPr>
      </w:pPr>
    </w:p>
    <w:p w:rsidR="00112316" w:rsidRPr="008C47D8" w:rsidRDefault="00112316" w:rsidP="008C47D8">
      <w:pPr>
        <w:spacing w:after="0" w:line="240" w:lineRule="auto"/>
        <w:rPr>
          <w:rFonts w:asciiTheme="majorHAnsi" w:eastAsia="Times New Roman" w:hAnsiTheme="majorHAnsi" w:cs="Times New Roman"/>
          <w:sz w:val="24"/>
          <w:szCs w:val="24"/>
          <w:lang w:eastAsia="fr-FR"/>
        </w:rPr>
      </w:pPr>
    </w:p>
    <w:p w:rsidR="00112316" w:rsidRPr="008C47D8" w:rsidRDefault="00112316" w:rsidP="008C47D8">
      <w:pPr>
        <w:spacing w:after="0" w:line="240" w:lineRule="auto"/>
        <w:rPr>
          <w:rFonts w:asciiTheme="majorHAnsi" w:eastAsia="Times New Roman" w:hAnsiTheme="majorHAnsi" w:cs="Times New Roman"/>
          <w:sz w:val="24"/>
          <w:szCs w:val="24"/>
          <w:lang w:eastAsia="fr-FR"/>
        </w:rPr>
      </w:pPr>
    </w:p>
    <w:p w:rsidR="00112316" w:rsidRDefault="00112316" w:rsidP="008C47D8">
      <w:pPr>
        <w:spacing w:after="0" w:line="240" w:lineRule="auto"/>
        <w:rPr>
          <w:rFonts w:ascii="Times New Roman" w:eastAsia="Times New Roman" w:hAnsi="Times New Roman" w:cs="Times New Roman"/>
          <w:sz w:val="24"/>
          <w:szCs w:val="24"/>
          <w:lang w:eastAsia="fr-FR"/>
        </w:rPr>
      </w:pPr>
    </w:p>
    <w:p w:rsidR="00112316" w:rsidRDefault="00112316" w:rsidP="008C47D8">
      <w:pPr>
        <w:spacing w:after="0" w:line="240" w:lineRule="auto"/>
        <w:rPr>
          <w:rFonts w:ascii="Times New Roman" w:eastAsia="Times New Roman" w:hAnsi="Times New Roman" w:cs="Times New Roman"/>
          <w:sz w:val="24"/>
          <w:szCs w:val="24"/>
          <w:lang w:eastAsia="fr-FR"/>
        </w:rPr>
      </w:pPr>
    </w:p>
    <w:p w:rsidR="00112316" w:rsidRDefault="00112316" w:rsidP="008C47D8">
      <w:pPr>
        <w:spacing w:after="0" w:line="240" w:lineRule="auto"/>
        <w:rPr>
          <w:rFonts w:ascii="Times New Roman" w:eastAsia="Times New Roman" w:hAnsi="Times New Roman" w:cs="Times New Roman"/>
          <w:sz w:val="24"/>
          <w:szCs w:val="24"/>
          <w:lang w:eastAsia="fr-FR"/>
        </w:rPr>
      </w:pPr>
    </w:p>
    <w:p w:rsidR="00112316" w:rsidRDefault="00112316" w:rsidP="008C47D8">
      <w:pPr>
        <w:spacing w:after="0" w:line="240" w:lineRule="auto"/>
        <w:rPr>
          <w:rFonts w:ascii="Times New Roman" w:eastAsia="Times New Roman" w:hAnsi="Times New Roman" w:cs="Times New Roman"/>
          <w:sz w:val="24"/>
          <w:szCs w:val="24"/>
          <w:lang w:eastAsia="fr-FR"/>
        </w:rPr>
      </w:pPr>
    </w:p>
    <w:p w:rsidR="00112316" w:rsidRDefault="00112316" w:rsidP="008C47D8">
      <w:pPr>
        <w:spacing w:after="0" w:line="240" w:lineRule="auto"/>
        <w:rPr>
          <w:rFonts w:ascii="Times New Roman" w:eastAsia="Times New Roman" w:hAnsi="Times New Roman" w:cs="Times New Roman"/>
          <w:sz w:val="24"/>
          <w:szCs w:val="24"/>
          <w:lang w:eastAsia="fr-FR"/>
        </w:rPr>
      </w:pPr>
    </w:p>
    <w:p w:rsidR="00112316" w:rsidRDefault="00112316" w:rsidP="00112316">
      <w:pPr>
        <w:spacing w:after="0" w:line="240" w:lineRule="auto"/>
        <w:rPr>
          <w:rFonts w:ascii="Times New Roman" w:eastAsia="Times New Roman" w:hAnsi="Times New Roman" w:cs="Times New Roman"/>
          <w:sz w:val="24"/>
          <w:szCs w:val="24"/>
          <w:lang w:eastAsia="fr-FR"/>
        </w:rPr>
      </w:pPr>
      <w:bookmarkStart w:id="0" w:name="_GoBack"/>
      <w:bookmarkEnd w:id="0"/>
    </w:p>
    <w:sectPr w:rsidR="001123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B1C"/>
    <w:rsid w:val="00112316"/>
    <w:rsid w:val="003D50C8"/>
    <w:rsid w:val="005C70A1"/>
    <w:rsid w:val="00713A32"/>
    <w:rsid w:val="007D023A"/>
    <w:rsid w:val="008C47D8"/>
    <w:rsid w:val="009A3F38"/>
    <w:rsid w:val="00C83B1C"/>
    <w:rsid w:val="00CE52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3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1231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3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123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egifrance.gouv.fr/affichCodeArticle.do;jsessionid=B6B56671A51841699A8FB7B4B5EB08A2.tplgfr21s_1?idArticle=LEGIARTI000036242695&amp;cidTexte=LEGITEXT000006074073&amp;categorieLien=id&amp;dateTexte=20180701"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770</Words>
  <Characters>4237</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dc:creator>
  <cp:keywords/>
  <dc:description/>
  <cp:lastModifiedBy>Corinne Palomino</cp:lastModifiedBy>
  <cp:revision>6</cp:revision>
  <cp:lastPrinted>2018-05-23T10:01:00Z</cp:lastPrinted>
  <dcterms:created xsi:type="dcterms:W3CDTF">2018-05-22T09:19:00Z</dcterms:created>
  <dcterms:modified xsi:type="dcterms:W3CDTF">2018-05-23T12:25:00Z</dcterms:modified>
</cp:coreProperties>
</file>